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wmf" ContentType="image/x-wmf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endnotes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76" w:before="120" w:after="120"/>
        <w:jc w:val="center"/>
        <w:rPr>
          <w:rFonts w:ascii="Times New Roman" w:hAnsi="Times New Roman" w:eastAsia="" w:eastAsiaTheme="majorEastAsia"/>
          <w:b/>
          <w:b/>
          <w:bCs/>
          <w:color w:val="365F91" w:themeColor="accent1" w:themeShade="bf"/>
          <w:sz w:val="32"/>
          <w:szCs w:val="26"/>
          <w:lang w:eastAsia="en-US"/>
        </w:rPr>
      </w:pPr>
      <w:r>
        <w:rPr>
          <w:rFonts w:eastAsia="" w:ascii="Times New Roman" w:hAnsi="Times New Roman" w:eastAsiaTheme="majorEastAsia"/>
          <w:b/>
          <w:bCs/>
          <w:color w:val="365F91" w:themeColor="accent1" w:themeShade="bf"/>
          <w:sz w:val="32"/>
          <w:szCs w:val="26"/>
          <w:lang w:eastAsia="en-US"/>
        </w:rPr>
        <w:t>CONTEST “CIRCULAR PORTS” - IMPATTI-NO</w:t>
      </w:r>
    </w:p>
    <w:p>
      <w:pPr>
        <w:pStyle w:val="Normal"/>
        <w:suppressAutoHyphens w:val="true"/>
        <w:spacing w:lineRule="auto" w:line="276" w:before="120" w:after="120"/>
        <w:jc w:val="center"/>
        <w:rPr>
          <w:rFonts w:ascii="Times New Roman" w:hAnsi="Times New Roman" w:eastAsia="" w:eastAsiaTheme="majorEastAsia"/>
          <w:b/>
          <w:b/>
          <w:bCs/>
          <w:color w:val="365F91" w:themeColor="accent1" w:themeShade="bf"/>
          <w:spacing w:val="3"/>
          <w:sz w:val="26"/>
          <w:szCs w:val="26"/>
          <w:lang w:eastAsia="en-US"/>
        </w:rPr>
      </w:pPr>
      <w:r>
        <w:rPr>
          <w:rFonts w:eastAsia="" w:eastAsiaTheme="majorEastAsia" w:ascii="Times New Roman" w:hAnsi="Times New Roman"/>
          <w:b/>
          <w:bCs/>
          <w:color w:val="365F91" w:themeColor="accent1" w:themeShade="bf"/>
          <w:spacing w:val="3"/>
          <w:sz w:val="26"/>
          <w:szCs w:val="26"/>
          <w:lang w:eastAsia="en-US"/>
        </w:rPr>
      </w:r>
      <w:bookmarkStart w:id="0" w:name="_GoBack"/>
      <w:bookmarkStart w:id="1" w:name="_GoBack"/>
      <w:bookmarkEnd w:id="1"/>
    </w:p>
    <w:p>
      <w:pPr>
        <w:pStyle w:val="Normal"/>
        <w:suppressAutoHyphens w:val="true"/>
        <w:spacing w:lineRule="auto" w:line="276" w:before="120" w:after="120"/>
        <w:jc w:val="center"/>
        <w:rPr>
          <w:rFonts w:ascii="Times New Roman" w:hAnsi="Times New Roman" w:eastAsia="" w:eastAsiaTheme="majorEastAsia"/>
          <w:b/>
          <w:b/>
          <w:bCs/>
          <w:color w:val="365F91" w:themeColor="accent1" w:themeShade="bf"/>
          <w:spacing w:val="3"/>
          <w:sz w:val="26"/>
          <w:szCs w:val="26"/>
          <w:lang w:eastAsia="en-US"/>
        </w:rPr>
      </w:pPr>
      <w:r>
        <w:rPr>
          <w:rFonts w:eastAsia="" w:ascii="Times New Roman" w:hAnsi="Times New Roman" w:eastAsiaTheme="majorEastAsia"/>
          <w:b/>
          <w:bCs/>
          <w:color w:val="365F91" w:themeColor="accent1" w:themeShade="bf"/>
          <w:spacing w:val="3"/>
          <w:sz w:val="26"/>
          <w:szCs w:val="26"/>
          <w:lang w:eastAsia="en-US"/>
        </w:rPr>
        <w:t xml:space="preserve">GRIGLIA DI VALUTAZIONE – </w:t>
      </w:r>
      <w:r>
        <w:rPr>
          <w:rFonts w:eastAsia="" w:ascii="Times New Roman" w:hAnsi="Times New Roman" w:eastAsiaTheme="majorEastAsia"/>
          <w:b/>
          <w:bCs/>
          <w:color w:val="365F91" w:themeColor="accent1" w:themeShade="bf"/>
          <w:spacing w:val="3"/>
          <w:sz w:val="26"/>
          <w:szCs w:val="26"/>
          <w:lang w:eastAsia="en-US"/>
        </w:rPr>
        <w:t>IMPRESE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Style w:val="Grigliatabell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9"/>
        <w:gridCol w:w="1413"/>
        <w:gridCol w:w="4674"/>
        <w:gridCol w:w="1795"/>
        <w:gridCol w:w="1217"/>
      </w:tblGrid>
      <w:tr>
        <w:trPr>
          <w:trHeight w:val="146" w:hRule="atLeast"/>
        </w:trPr>
        <w:tc>
          <w:tcPr>
            <w:tcW w:w="5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  <w:t>N</w:t>
            </w:r>
          </w:p>
        </w:tc>
        <w:tc>
          <w:tcPr>
            <w:tcW w:w="1413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  <w:t>Criterio</w:t>
            </w:r>
          </w:p>
        </w:tc>
        <w:tc>
          <w:tcPr>
            <w:tcW w:w="46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  <w:t>Parametri</w:t>
            </w:r>
          </w:p>
        </w:tc>
        <w:tc>
          <w:tcPr>
            <w:tcW w:w="17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  <w:t>Punteggio fase valutativa</w:t>
            </w:r>
          </w:p>
        </w:tc>
        <w:tc>
          <w:tcPr>
            <w:tcW w:w="1217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  <w:t>Punteggio massimo</w:t>
            </w:r>
          </w:p>
        </w:tc>
      </w:tr>
      <w:tr>
        <w:trPr>
          <w:trHeight w:val="1184" w:hRule="atLeast"/>
        </w:trPr>
        <w:tc>
          <w:tcPr>
            <w:tcW w:w="539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1</w:t>
            </w:r>
          </w:p>
        </w:tc>
        <w:tc>
          <w:tcPr>
            <w:tcW w:w="141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Impatto “circolare”</w:t>
            </w:r>
            <w:r>
              <w:rPr>
                <w:rFonts w:eastAsia="Calibri" w:cs="Times New Roman" w:ascii="Times New Roman" w:hAnsi="Times New Roman"/>
                <w:kern w:val="0"/>
                <w:vertAlign w:val="superscript"/>
                <w:lang w:val="it-IT" w:eastAsia="en-US" w:bidi="ar-SA"/>
              </w:rPr>
              <w:t xml:space="preserve"> </w:t>
            </w:r>
            <w:r>
              <w:rPr>
                <w:rStyle w:val="Richiamoallanotadichiusura"/>
                <w:rFonts w:eastAsia="Calibri" w:cs="Times New Roman" w:ascii="Times New Roman" w:hAnsi="Times New Roman"/>
                <w:kern w:val="0"/>
                <w:lang w:val="it-IT" w:eastAsia="en-US" w:bidi="ar-SA"/>
              </w:rPr>
              <w:endnoteReference w:id="2"/>
            </w:r>
          </w:p>
        </w:tc>
        <w:tc>
          <w:tcPr>
            <w:tcW w:w="467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 xml:space="preserve">Chiarezza e congruità della proposta con particolare riferimento agli impatti previsti in termini di accrescimento del livello di circolarità della filiera in fase di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u w:val="single"/>
                <w:lang w:val="it-IT" w:eastAsia="en-US" w:bidi="ar-SA"/>
              </w:rPr>
              <w:t>design/approvvigionamento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7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fino a 10</w:t>
            </w:r>
          </w:p>
        </w:tc>
        <w:tc>
          <w:tcPr>
            <w:tcW w:w="121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  <w:t>30</w:t>
            </w:r>
          </w:p>
        </w:tc>
      </w:tr>
      <w:tr>
        <w:trPr>
          <w:trHeight w:val="1184" w:hRule="atLeast"/>
        </w:trPr>
        <w:tc>
          <w:tcPr>
            <w:tcW w:w="53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67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 xml:space="preserve">Chiarezza e congruità della proposta con particolare riferimento agli impatti previsti in termini di accrescimento del livello di circolarità della filiera in fase di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u w:val="single"/>
                <w:lang w:val="it-IT" w:eastAsia="en-US" w:bidi="ar-SA"/>
              </w:rPr>
              <w:t>distribuzione/utilizzo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7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fino a 10</w:t>
            </w:r>
          </w:p>
        </w:tc>
        <w:tc>
          <w:tcPr>
            <w:tcW w:w="121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1184" w:hRule="atLeast"/>
        </w:trPr>
        <w:tc>
          <w:tcPr>
            <w:tcW w:w="53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67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 xml:space="preserve">Chiarezza e congruità della proposta con particolare riferimento agli impatti previsti in termini di accrescimento del livello di circolarità della filiera in fase di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u w:val="single"/>
                <w:lang w:val="it-IT" w:eastAsia="en-US" w:bidi="ar-SA"/>
              </w:rPr>
              <w:t>raccolta e riciclo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7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fino a 10</w:t>
            </w:r>
          </w:p>
        </w:tc>
        <w:tc>
          <w:tcPr>
            <w:tcW w:w="121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2159" w:hRule="atLeast"/>
        </w:trPr>
        <w:tc>
          <w:tcPr>
            <w:tcW w:w="539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2</w:t>
            </w:r>
          </w:p>
        </w:tc>
        <w:tc>
          <w:tcPr>
            <w:tcW w:w="141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Innovatività</w:t>
            </w:r>
          </w:p>
        </w:tc>
        <w:tc>
          <w:tcPr>
            <w:tcW w:w="467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 xml:space="preserve">Sviluppo di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  <w:t>nuovi processi produttivi, logistici e organizzativi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 xml:space="preserve"> basati su business model circolari ed in grado di promuovere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u w:val="single"/>
                <w:lang w:val="it-IT" w:eastAsia="en-US" w:bidi="ar-SA"/>
              </w:rPr>
              <w:t>durabilità, disassemblaggio, riciclabilità e riutilizzabilità e/o diffusione di pratiche del riuso e/o del trattamento per la valorizzazione di prodotti a fine ciclo di vita/scarti</w:t>
            </w:r>
          </w:p>
        </w:tc>
        <w:tc>
          <w:tcPr>
            <w:tcW w:w="17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fino a 15</w:t>
            </w:r>
          </w:p>
        </w:tc>
        <w:tc>
          <w:tcPr>
            <w:tcW w:w="121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  <w:t>30</w:t>
            </w:r>
          </w:p>
        </w:tc>
      </w:tr>
      <w:tr>
        <w:trPr>
          <w:trHeight w:val="1125" w:hRule="atLeast"/>
        </w:trPr>
        <w:tc>
          <w:tcPr>
            <w:tcW w:w="53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67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 xml:space="preserve">Utilizzo di tecnologie 4.0 e processi digitali finalizzati all’ottimizzazione ed al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u w:val="single"/>
                <w:lang w:val="it-IT" w:eastAsia="en-US" w:bidi="ar-SA"/>
              </w:rPr>
              <w:t>monitoraggio dei consumi energetici e delle emissioni</w:t>
            </w:r>
          </w:p>
        </w:tc>
        <w:tc>
          <w:tcPr>
            <w:tcW w:w="17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fino a 5</w:t>
            </w:r>
          </w:p>
        </w:tc>
        <w:tc>
          <w:tcPr>
            <w:tcW w:w="121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1351" w:hRule="atLeast"/>
        </w:trPr>
        <w:tc>
          <w:tcPr>
            <w:tcW w:w="53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67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 xml:space="preserve">Utilizzo di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  <w:t>piattaforme/tecnologie digitali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 xml:space="preserve"> o altri strumenti di innovazione a supporto della filiera che chiudono la catena del valore con migliore sostenibilità tecnica, economica ed ambientale</w:t>
            </w:r>
          </w:p>
        </w:tc>
        <w:tc>
          <w:tcPr>
            <w:tcW w:w="17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fino a 10</w:t>
            </w:r>
          </w:p>
        </w:tc>
        <w:tc>
          <w:tcPr>
            <w:tcW w:w="121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589" w:hRule="atLeast"/>
        </w:trPr>
        <w:tc>
          <w:tcPr>
            <w:tcW w:w="539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3</w:t>
            </w:r>
          </w:p>
        </w:tc>
        <w:tc>
          <w:tcPr>
            <w:tcW w:w="141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Fattibilità e prospettive di mercato</w:t>
            </w:r>
          </w:p>
        </w:tc>
        <w:tc>
          <w:tcPr>
            <w:tcW w:w="46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  <w:t>Tipologia di business model proposta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 xml:space="preserve"> e coerenza con i principi dell’economia circolare</w:t>
            </w:r>
          </w:p>
        </w:tc>
        <w:tc>
          <w:tcPr>
            <w:tcW w:w="17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fino a 10</w:t>
            </w:r>
          </w:p>
        </w:tc>
        <w:tc>
          <w:tcPr>
            <w:tcW w:w="121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  <w:t>30</w:t>
            </w:r>
          </w:p>
        </w:tc>
      </w:tr>
      <w:tr>
        <w:trPr>
          <w:trHeight w:val="589" w:hRule="atLeast"/>
        </w:trPr>
        <w:tc>
          <w:tcPr>
            <w:tcW w:w="53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6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 xml:space="preserve">Congruità e completezza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  <w:t>dell’analisi del mercato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 xml:space="preserve"> di riferimento</w:t>
            </w:r>
          </w:p>
        </w:tc>
        <w:tc>
          <w:tcPr>
            <w:tcW w:w="17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fino a 10</w:t>
            </w:r>
          </w:p>
        </w:tc>
        <w:tc>
          <w:tcPr>
            <w:tcW w:w="121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589" w:hRule="atLeast"/>
        </w:trPr>
        <w:tc>
          <w:tcPr>
            <w:tcW w:w="53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6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 xml:space="preserve">Attendibilità delle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  <w:t>ricadute economiche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 xml:space="preserve"> del progetto</w:t>
            </w:r>
          </w:p>
        </w:tc>
        <w:tc>
          <w:tcPr>
            <w:tcW w:w="17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fino a 10</w:t>
            </w:r>
          </w:p>
        </w:tc>
        <w:tc>
          <w:tcPr>
            <w:tcW w:w="121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594" w:hRule="atLeast"/>
        </w:trPr>
        <w:tc>
          <w:tcPr>
            <w:tcW w:w="539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4</w:t>
            </w:r>
          </w:p>
        </w:tc>
        <w:tc>
          <w:tcPr>
            <w:tcW w:w="141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Replicabilità</w:t>
            </w:r>
          </w:p>
        </w:tc>
        <w:tc>
          <w:tcPr>
            <w:tcW w:w="46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 xml:space="preserve">Chiarezza, completezza e robustezza della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  <w:t>strategia per la replicazione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 xml:space="preserve"> e il trasferimento dell’idea progettuale entro i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u w:val="single"/>
                <w:lang w:val="it-IT" w:eastAsia="en-US" w:bidi="ar-SA"/>
              </w:rPr>
              <w:t>confini nazionali</w:t>
            </w:r>
          </w:p>
        </w:tc>
        <w:tc>
          <w:tcPr>
            <w:tcW w:w="17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fino a 10</w:t>
            </w:r>
          </w:p>
        </w:tc>
        <w:tc>
          <w:tcPr>
            <w:tcW w:w="121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  <w:t>20</w:t>
            </w:r>
          </w:p>
        </w:tc>
      </w:tr>
      <w:tr>
        <w:trPr>
          <w:trHeight w:val="594" w:hRule="atLeast"/>
        </w:trPr>
        <w:tc>
          <w:tcPr>
            <w:tcW w:w="53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6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 xml:space="preserve">Chiarezza, completezza e robustezza della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  <w:t>strategia per la replicazione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 xml:space="preserve"> e il trasferimento dell’idea progettuale anche al di là dei confini nazionali, ma comunque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u w:val="single"/>
                <w:lang w:val="it-IT" w:eastAsia="en-US" w:bidi="ar-SA"/>
              </w:rPr>
              <w:t>entro l’area transfrontaliera</w:t>
            </w:r>
            <w:r>
              <w:rPr>
                <w:rStyle w:val="Richiamoallanotadichiusura"/>
                <w:rFonts w:eastAsia="Calibri" w:cs="Times New Roman" w:ascii="Times New Roman" w:hAnsi="Times New Roman"/>
                <w:kern w:val="0"/>
                <w:sz w:val="22"/>
                <w:szCs w:val="22"/>
                <w:u w:val="single"/>
                <w:lang w:val="it-IT" w:eastAsia="en-US" w:bidi="ar-SA"/>
              </w:rPr>
              <w:endnoteReference w:id="3"/>
            </w:r>
          </w:p>
        </w:tc>
        <w:tc>
          <w:tcPr>
            <w:tcW w:w="17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fino a 10</w:t>
            </w:r>
          </w:p>
        </w:tc>
        <w:tc>
          <w:tcPr>
            <w:tcW w:w="121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442" w:hRule="atLeast"/>
        </w:trPr>
        <w:tc>
          <w:tcPr>
            <w:tcW w:w="539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5</w:t>
            </w:r>
          </w:p>
        </w:tc>
        <w:tc>
          <w:tcPr>
            <w:tcW w:w="141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Dimensione multi stakeholder</w:t>
            </w:r>
          </w:p>
        </w:tc>
        <w:tc>
          <w:tcPr>
            <w:tcW w:w="46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 xml:space="preserve">Numero e consistenza delle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  <w:t>collaborazioni inter e intraorganizzative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 xml:space="preserve"> legate alla realizzazione della proposta progettuale</w:t>
            </w:r>
          </w:p>
        </w:tc>
        <w:tc>
          <w:tcPr>
            <w:tcW w:w="17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fino a 12</w:t>
            </w:r>
          </w:p>
        </w:tc>
        <w:tc>
          <w:tcPr>
            <w:tcW w:w="121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  <w:t>20</w:t>
            </w:r>
          </w:p>
        </w:tc>
      </w:tr>
      <w:tr>
        <w:trPr>
          <w:trHeight w:val="442" w:hRule="atLeast"/>
        </w:trPr>
        <w:tc>
          <w:tcPr>
            <w:tcW w:w="53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41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6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 xml:space="preserve">Presenza e chiarezza di una strategia per il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  <w:t>coinvolgimento degli stakeholder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 xml:space="preserve"> in fase di realizzazione</w:t>
            </w:r>
          </w:p>
        </w:tc>
        <w:tc>
          <w:tcPr>
            <w:tcW w:w="17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fino a 8</w:t>
            </w:r>
          </w:p>
        </w:tc>
        <w:tc>
          <w:tcPr>
            <w:tcW w:w="121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442" w:hRule="atLeast"/>
        </w:trPr>
        <w:tc>
          <w:tcPr>
            <w:tcW w:w="842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/>
                <w:b/>
                <w:b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  <w:t>TOTALE</w:t>
            </w:r>
          </w:p>
        </w:tc>
        <w:tc>
          <w:tcPr>
            <w:tcW w:w="1217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  <w:t>130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endnotePr>
        <w:numFmt w:val="decimal"/>
      </w:endnotePr>
      <w:type w:val="nextPage"/>
      <w:pgSz w:w="11906" w:h="16838"/>
      <w:pgMar w:left="1134" w:right="1134" w:header="0" w:top="2268" w:footer="567" w:bottom="1701" w:gutter="0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Notadichiusura"/>
        <w:widowControl w:val="false"/>
        <w:jc w:val="both"/>
        <w:rPr>
          <w:rFonts w:ascii="Times New Roman" w:hAnsi="Times New Roman"/>
        </w:rPr>
      </w:pPr>
      <w:r>
        <w:rPr>
          <w:rStyle w:val="Caratterinotadichiusura"/>
        </w:rPr>
        <w:end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 definizione più conosciuta dell’Economia Circolare è senz’altro quella della Ellen MC Arthur Foundation che definisce l’EC come un’economia pensata per potersi rigenerare da sola. In un’economia circolare i flussi di materiali sono di due tipi: quelli biologici, in grado di essere reintegrati nella biosfera, e quelli tecnici, destinati a essere rivalorizzati senza entrare nella biosfera»</w:t>
      </w:r>
      <w:r>
        <w:rPr>
          <w:rFonts w:ascii="Times New Roman" w:hAnsi="Times New Roman"/>
          <w:lang w:val="it-IT"/>
        </w:rPr>
        <w:t xml:space="preserve">. </w:t>
      </w:r>
      <w:r>
        <w:rPr>
          <w:rFonts w:ascii="Times New Roman" w:hAnsi="Times New Roman"/>
        </w:rPr>
        <w:t>Il concetto essenziale è ridurre e l’uso di materie vergini e risorse naturali e la generazione dei rifiuti e altri output dannosi per l’ambiente attraverso un insieme di azioni e di interventi che riguardano tutte le fasi di progettazione e realizzazione dei prodotti e dei servizi, quindi attraverso l’eco-design, la riparazione ed il riuso, il riciclo ed il recupero, etc</w:t>
      </w:r>
      <w:r>
        <w:rPr>
          <w:rFonts w:ascii="Times New Roman" w:hAnsi="Times New Roman"/>
          <w:lang w:val="it-IT"/>
        </w:rPr>
        <w:t>.</w:t>
      </w:r>
      <w:r>
        <w:rPr>
          <w:rFonts w:ascii="Times New Roman" w:hAnsi="Times New Roman"/>
        </w:rPr>
        <w:t xml:space="preserve"> al fine di generare benefici multipli e di ridurre (fino ad annullare) la dipendenza dei nostri sistemi produttivi dalle materie prime vergini, riducendo parallelamente gli impatti negativi sull’ambiente</w:t>
      </w:r>
    </w:p>
    <w:p>
      <w:pPr>
        <w:pStyle w:val="Notadichiusura"/>
        <w:widowControl w:val="false"/>
        <w:jc w:val="both"/>
        <w:rPr>
          <w:rFonts w:ascii="Times New Roman" w:hAnsi="Times New Roman"/>
        </w:rPr>
      </w:pPr>
      <w:r>
        <w:rPr/>
        <w:drawing>
          <wp:inline distT="0" distB="0" distL="0" distR="0">
            <wp:extent cx="1565275" cy="1574800"/>
            <wp:effectExtent l="0" t="0" r="0" b="0"/>
            <wp:docPr id="2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tadichiusura"/>
        <w:widowControl w:val="fals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>L'approvvigionamento è il reperimento delle materie prime, beni e servizi necessari al funzionamento di un'attività produttiva</w:t>
      </w:r>
    </w:p>
    <w:p>
      <w:pPr>
        <w:pStyle w:val="Notadichiusura"/>
        <w:widowControl w:val="fals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>Il design è l’attività alla base della costruzione/realizzazione di un oggetto complesso, materiale o concettuale</w:t>
      </w:r>
    </w:p>
    <w:p>
      <w:pPr>
        <w:pStyle w:val="Notadichiusura"/>
        <w:widowControl w:val="fals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>La produzione industriale (o fabbricazione) è l'insieme delle attività relative alla trasformazione di materie prime, energie ed informazioni, in beni di consumo</w:t>
      </w:r>
    </w:p>
    <w:p>
      <w:pPr>
        <w:pStyle w:val="Notadichiusura"/>
        <w:widowControl w:val="fals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>La distribuzione è l’attività attraverso la quale le aziende produttrici immettono sul mercato beni e servizi.</w:t>
      </w:r>
    </w:p>
    <w:p>
      <w:pPr>
        <w:pStyle w:val="Notadichiusura"/>
        <w:widowControl w:val="fals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>L’utilizzo corrisponde all'uso di beni e servizi da parte di individui, di imprese o della pubblica amministrazione (consumatore)</w:t>
      </w:r>
    </w:p>
    <w:p>
      <w:pPr>
        <w:pStyle w:val="Notadichiusura"/>
        <w:widowControl w:val="fals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>La raccolta è finalizzata alla separazione dei rifiuti in modo tale da reindirizzare ciascuna tipologia verso la preparazione al riutilizzo, riciclo, valorizzazione ed in forma residuale discarica</w:t>
      </w:r>
    </w:p>
    <w:p>
      <w:pPr>
        <w:pStyle w:val="Notadichiusura"/>
        <w:widowControl w:val="false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>Il riciclo è l'insieme di strategie e metodologie volte a recuperare materiali utili dai rifiuti al fine di riutilizzarli anziché smaltirli in discarica</w:t>
      </w:r>
    </w:p>
  </w:endnote>
  <w:endnote w:id="3">
    <w:p>
      <w:pPr>
        <w:pStyle w:val="Notadichiusura"/>
        <w:widowControl w:val="false"/>
        <w:jc w:val="both"/>
        <w:rPr>
          <w:rFonts w:ascii="Times New Roman" w:hAnsi="Times New Roman"/>
          <w:lang w:val="it-IT"/>
        </w:rPr>
      </w:pPr>
      <w:r>
        <w:rPr>
          <w:rStyle w:val="Caratterinotadichiusura"/>
        </w:rPr>
        <w:endnoteRef/>
      </w:r>
      <w:r>
        <w:rPr>
          <w:rFonts w:ascii="Times New Roman" w:hAnsi="Times New Roman"/>
        </w:rPr>
        <w:t xml:space="preserve"> </w:t>
      </w:r>
      <w:hyperlink r:id="rId2">
        <w:r>
          <w:rPr>
            <w:rStyle w:val="CollegamentoInternet"/>
            <w:rFonts w:ascii="Times New Roman" w:hAnsi="Times New Roman"/>
          </w:rPr>
          <w:t>http://interreg-maritime.eu/it/programma/area</w:t>
        </w:r>
      </w:hyperlink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nionPro-Regular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lineRule="auto" w:line="3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9638"/>
        <w:tab w:val="center" w:pos="4819" w:leader="none"/>
        <w:tab w:val="right" w:pos="10773" w:leader="none"/>
      </w:tabs>
      <w:ind w:right="-1134" w:hanging="0"/>
      <w:rPr/>
    </w:pPr>
    <w:r>
      <w:rPr/>
    </w:r>
  </w:p>
  <w:p>
    <w:pPr>
      <w:pStyle w:val="Intestazione"/>
      <w:tabs>
        <w:tab w:val="clear" w:pos="9638"/>
        <w:tab w:val="center" w:pos="4819" w:leader="none"/>
        <w:tab w:val="right" w:pos="10773" w:leader="none"/>
      </w:tabs>
      <w:ind w:right="-1134" w:hanging="0"/>
      <w:rPr/>
    </w:pPr>
    <w:r>
      <w:rPr/>
    </w:r>
  </w:p>
  <w:p>
    <w:pPr>
      <w:pStyle w:val="Intestazione"/>
      <w:tabs>
        <w:tab w:val="clear" w:pos="9638"/>
        <w:tab w:val="center" w:pos="4819" w:leader="none"/>
        <w:tab w:val="right" w:pos="10773" w:leader="none"/>
      </w:tabs>
      <w:ind w:right="-1134" w:hanging="0"/>
      <w:rPr/>
    </w:pPr>
    <w:r>
      <w:rPr/>
      <w:drawing>
        <wp:inline distT="0" distB="0" distL="0" distR="0">
          <wp:extent cx="3702685" cy="683260"/>
          <wp:effectExtent l="0" t="0" r="0" b="0"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685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endnotePr>
    <w:numFmt w:val="decimal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Document Map" w:uiPriority="99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46bc"/>
    <w:pPr>
      <w:widowControl/>
      <w:bidi w:val="0"/>
      <w:spacing w:before="0" w:after="0"/>
      <w:jc w:val="left"/>
    </w:pPr>
    <w:rPr>
      <w:rFonts w:ascii="Cambria" w:hAnsi="Cambria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link w:val="Titolo1Carattere"/>
    <w:uiPriority w:val="9"/>
    <w:qFormat/>
    <w:rsid w:val="00b34ec5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val="x-none" w:eastAsia="x-none"/>
    </w:rPr>
  </w:style>
  <w:style w:type="paragraph" w:styleId="Titolo2">
    <w:name w:val="Heading 2"/>
    <w:basedOn w:val="Normal"/>
    <w:next w:val="Normal"/>
    <w:link w:val="Titolo2Carattere"/>
    <w:qFormat/>
    <w:rsid w:val="00597fa3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Titolo4">
    <w:name w:val="Heading 4"/>
    <w:basedOn w:val="Normal"/>
    <w:next w:val="Normal"/>
    <w:link w:val="Titolo4Carattere"/>
    <w:qFormat/>
    <w:rsid w:val="00597fa3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442dd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442dd"/>
    <w:rPr/>
  </w:style>
  <w:style w:type="character" w:styleId="TestofumettoCarattere" w:customStyle="1">
    <w:name w:val="Testo fumetto Carattere"/>
    <w:link w:val="Testofumetto"/>
    <w:uiPriority w:val="99"/>
    <w:semiHidden/>
    <w:qFormat/>
    <w:rsid w:val="00b442dd"/>
    <w:rPr>
      <w:rFonts w:ascii="Lucida Grande" w:hAnsi="Lucida Grande" w:cs="Lucida Grande"/>
      <w:sz w:val="18"/>
      <w:szCs w:val="18"/>
    </w:rPr>
  </w:style>
  <w:style w:type="character" w:styleId="TestonotaapidipaginaCarattere" w:customStyle="1">
    <w:name w:val="Testo nota a piè di pagina Carattere"/>
    <w:link w:val="Testonotaapidipagina"/>
    <w:qFormat/>
    <w:rsid w:val="00d1101b"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unhideWhenUsed/>
    <w:qFormat/>
    <w:rsid w:val="00d1101b"/>
    <w:rPr>
      <w:vertAlign w:val="superscript"/>
    </w:rPr>
  </w:style>
  <w:style w:type="character" w:styleId="PreformattatoHTMLCarattere" w:customStyle="1">
    <w:name w:val="Preformattato HTML Carattere"/>
    <w:link w:val="PreformattatoHTML"/>
    <w:uiPriority w:val="99"/>
    <w:qFormat/>
    <w:rsid w:val="00d1101b"/>
    <w:rPr>
      <w:rFonts w:ascii="Courier New" w:hAnsi="Courier New" w:eastAsia="Times New Roman" w:cs="Courier New"/>
      <w:sz w:val="20"/>
      <w:szCs w:val="20"/>
      <w:lang w:val="fr-FR" w:eastAsia="fr-FR"/>
    </w:rPr>
  </w:style>
  <w:style w:type="character" w:styleId="Strong">
    <w:name w:val="Strong"/>
    <w:uiPriority w:val="22"/>
    <w:qFormat/>
    <w:rsid w:val="00a15d02"/>
    <w:rPr>
      <w:b/>
      <w:bCs/>
    </w:rPr>
  </w:style>
  <w:style w:type="character" w:styleId="Titolo1Carattere" w:customStyle="1">
    <w:name w:val="Titolo 1 Carattere"/>
    <w:link w:val="Titolo1"/>
    <w:uiPriority w:val="9"/>
    <w:qFormat/>
    <w:rsid w:val="00b34ec5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CollegamentoInternet">
    <w:name w:val="Collegamento Internet"/>
    <w:uiPriority w:val="99"/>
    <w:unhideWhenUsed/>
    <w:rsid w:val="0095329c"/>
    <w:rPr>
      <w:color w:val="0000FF"/>
      <w:u w:val="single"/>
    </w:rPr>
  </w:style>
  <w:style w:type="character" w:styleId="MappadocumentoCarattere" w:customStyle="1">
    <w:name w:val="Mappa documento Carattere"/>
    <w:link w:val="Mappadocumento"/>
    <w:uiPriority w:val="99"/>
    <w:qFormat/>
    <w:rsid w:val="00bb4dc5"/>
    <w:rPr>
      <w:rFonts w:ascii="Tahoma" w:hAnsi="Tahoma" w:eastAsia="Cambria" w:cs="Tahoma"/>
      <w:sz w:val="16"/>
      <w:szCs w:val="16"/>
      <w:lang w:eastAsia="en-US"/>
    </w:rPr>
  </w:style>
  <w:style w:type="character" w:styleId="TestonotadichiusuraCarattere" w:customStyle="1">
    <w:name w:val="Testo nota di chiusura Carattere"/>
    <w:link w:val="Testonotadichiusura"/>
    <w:qFormat/>
    <w:rsid w:val="006a37ce"/>
    <w:rPr>
      <w:sz w:val="20"/>
      <w:szCs w:val="20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sid w:val="006a37ce"/>
    <w:rPr>
      <w:vertAlign w:val="superscript"/>
    </w:rPr>
  </w:style>
  <w:style w:type="character" w:styleId="Object4" w:customStyle="1">
    <w:name w:val="object4"/>
    <w:basedOn w:val="DefaultParagraphFont"/>
    <w:qFormat/>
    <w:rsid w:val="00e15cb8"/>
    <w:rPr/>
  </w:style>
  <w:style w:type="character" w:styleId="Annotationreference">
    <w:name w:val="annotation reference"/>
    <w:semiHidden/>
    <w:unhideWhenUsed/>
    <w:qFormat/>
    <w:rsid w:val="00b87c39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semiHidden/>
    <w:qFormat/>
    <w:rsid w:val="00b87c39"/>
    <w:rPr/>
  </w:style>
  <w:style w:type="character" w:styleId="SoggettocommentoCarattere" w:customStyle="1">
    <w:name w:val="Soggetto commento Carattere"/>
    <w:link w:val="Soggettocommento"/>
    <w:semiHidden/>
    <w:qFormat/>
    <w:rsid w:val="00b87c39"/>
    <w:rPr>
      <w:b/>
      <w:bCs/>
    </w:rPr>
  </w:style>
  <w:style w:type="character" w:styleId="Titolo2Carattere" w:customStyle="1">
    <w:name w:val="Titolo 2 Carattere"/>
    <w:basedOn w:val="DefaultParagraphFont"/>
    <w:link w:val="Titolo2"/>
    <w:qFormat/>
    <w:rsid w:val="00597fa3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itolo4Carattere" w:customStyle="1">
    <w:name w:val="Titolo 4 Carattere"/>
    <w:basedOn w:val="DefaultParagraphFont"/>
    <w:link w:val="Titolo4"/>
    <w:qFormat/>
    <w:rsid w:val="00597fa3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4"/>
      <w:szCs w:val="24"/>
    </w:rPr>
  </w:style>
  <w:style w:type="character" w:styleId="Caratterinotadichiusura">
    <w:name w:val="Caratteri nota di chiusura"/>
    <w:qFormat/>
    <w:rPr/>
  </w:style>
  <w:style w:type="character" w:styleId="Caratterinotaapidipagina">
    <w:name w:val="Caratteri nota a piè di pagin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b442d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nhideWhenUsed/>
    <w:rsid w:val="00b442d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442dd"/>
    <w:pPr/>
    <w:rPr>
      <w:rFonts w:ascii="Lucida Grande" w:hAnsi="Lucida Grande"/>
      <w:sz w:val="18"/>
      <w:szCs w:val="18"/>
      <w:lang w:val="x-none" w:eastAsia="x-none"/>
    </w:rPr>
  </w:style>
  <w:style w:type="paragraph" w:styleId="Paragrafobase" w:customStyle="1">
    <w:name w:val="[Paragrafo base]"/>
    <w:basedOn w:val="Normal"/>
    <w:uiPriority w:val="99"/>
    <w:qFormat/>
    <w:rsid w:val="00b442dd"/>
    <w:pPr>
      <w:widowControl w:val="false"/>
      <w:spacing w:lineRule="auto" w:line="288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d1101b"/>
    <w:pPr>
      <w:spacing w:lineRule="auto" w:line="276" w:before="0" w:after="200"/>
      <w:ind w:left="720" w:hanging="0"/>
      <w:contextualSpacing/>
    </w:pPr>
    <w:rPr>
      <w:rFonts w:eastAsia="Cambria"/>
      <w:sz w:val="22"/>
      <w:szCs w:val="22"/>
      <w:lang w:eastAsia="en-US"/>
    </w:rPr>
  </w:style>
  <w:style w:type="paragraph" w:styleId="Notaapidipagina">
    <w:name w:val="Footnote Text"/>
    <w:basedOn w:val="Normal"/>
    <w:link w:val="TestonotaapidipaginaCarattere"/>
    <w:unhideWhenUsed/>
    <w:rsid w:val="00d1101b"/>
    <w:pPr/>
    <w:rPr>
      <w:sz w:val="20"/>
      <w:szCs w:val="20"/>
      <w:lang w:val="x-none" w:eastAsia="x-none"/>
    </w:rPr>
  </w:style>
  <w:style w:type="paragraph" w:styleId="HTMLPreformatted">
    <w:name w:val="HTML Preformatted"/>
    <w:basedOn w:val="Normal"/>
    <w:link w:val="PreformattatoHTMLCarattere"/>
    <w:uiPriority w:val="99"/>
    <w:unhideWhenUsed/>
    <w:qFormat/>
    <w:rsid w:val="00d1101b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qFormat/>
    <w:rsid w:val="0095329c"/>
    <w:pPr>
      <w:spacing w:beforeAutospacing="1" w:afterAutospacing="1"/>
    </w:pPr>
    <w:rPr>
      <w:rFonts w:ascii="Times New Roman" w:hAnsi="Times New Roman"/>
    </w:rPr>
  </w:style>
  <w:style w:type="paragraph" w:styleId="DocumentMap">
    <w:name w:val="Document Map"/>
    <w:basedOn w:val="Normal"/>
    <w:link w:val="MappadocumentoCarattere"/>
    <w:uiPriority w:val="99"/>
    <w:unhideWhenUsed/>
    <w:qFormat/>
    <w:rsid w:val="00bb4dc5"/>
    <w:pPr/>
    <w:rPr>
      <w:rFonts w:ascii="Tahoma" w:hAnsi="Tahoma" w:eastAsia="Cambria"/>
      <w:sz w:val="16"/>
      <w:szCs w:val="16"/>
      <w:lang w:val="x-none" w:eastAsia="en-US"/>
    </w:rPr>
  </w:style>
  <w:style w:type="paragraph" w:styleId="Notadichiusura">
    <w:name w:val="Endnote Text"/>
    <w:basedOn w:val="Normal"/>
    <w:link w:val="TestonotadichiusuraCarattere"/>
    <w:rsid w:val="006a37ce"/>
    <w:pPr/>
    <w:rPr>
      <w:sz w:val="20"/>
      <w:szCs w:val="20"/>
      <w:lang w:val="x-none" w:eastAsia="x-none"/>
    </w:rPr>
  </w:style>
  <w:style w:type="paragraph" w:styleId="Annotationtext">
    <w:name w:val="annotation text"/>
    <w:basedOn w:val="Normal"/>
    <w:link w:val="TestocommentoCarattere"/>
    <w:semiHidden/>
    <w:unhideWhenUsed/>
    <w:qFormat/>
    <w:rsid w:val="00b87c3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semiHidden/>
    <w:unhideWhenUsed/>
    <w:qFormat/>
    <w:rsid w:val="00b87c39"/>
    <w:pPr/>
    <w:rPr>
      <w:b/>
      <w:bCs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d1101b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endnotes" Target="end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endnotes.xml.rels><?xml version="1.0" encoding="UTF-8"?>
<Relationships xmlns="http://schemas.openxmlformats.org/package/2006/relationships"><Relationship Id="rId1" Type="http://schemas.openxmlformats.org/officeDocument/2006/relationships/image" Target="media/image2.wmf"/><Relationship Id="rId2" Type="http://schemas.openxmlformats.org/officeDocument/2006/relationships/hyperlink" Target="http://interreg-maritime.eu/it/programma/area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D54E0-C175-4F7A-A463-80834F1E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Application>LibreOffice/7.0.2.2$Windows_X86_64 LibreOffice_project/8349ace3c3162073abd90d81fd06dcfb6b36b994</Application>
  <Pages>3</Pages>
  <Words>625</Words>
  <Characters>3783</Characters>
  <CharactersWithSpaces>4352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2020-01-27T12:20:00Z</dcterms:created>
  <dc:creator>Mariacarla Montanari</dc:creator>
  <dc:description/>
  <dc:language>it-IT</dc:language>
  <cp:lastModifiedBy/>
  <cp:lastPrinted>2018-01-16T08:46:00Z</cp:lastPrinted>
  <dcterms:modified xsi:type="dcterms:W3CDTF">2021-02-02T12:28:32Z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